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116AD4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21.02.2022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14-3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116AD4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8-3 от  20.12.2021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116AD4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2022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</w:t>
      </w:r>
      <w:r w:rsidR="00116AD4">
        <w:rPr>
          <w:rFonts w:ascii="Times New Roman" w:hAnsi="Times New Roman"/>
          <w:bCs/>
          <w:sz w:val="28"/>
        </w:rPr>
        <w:t xml:space="preserve">  в  Приложение № 2</w:t>
      </w:r>
      <w:r>
        <w:rPr>
          <w:rFonts w:ascii="Times New Roman" w:hAnsi="Times New Roman"/>
          <w:bCs/>
          <w:sz w:val="28"/>
        </w:rPr>
        <w:t xml:space="preserve">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116AD4">
        <w:rPr>
          <w:rFonts w:ascii="Times New Roman" w:hAnsi="Times New Roman"/>
          <w:bCs/>
          <w:sz w:val="28"/>
        </w:rPr>
        <w:t>йона Саратовской области на 2022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116AD4" w:rsidRDefault="00116AD4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sz w:val="28"/>
        </w:rPr>
        <w:t>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</w:t>
      </w:r>
      <w:proofErr w:type="spellEnd"/>
      <w:r>
        <w:rPr>
          <w:rFonts w:ascii="Times New Roman" w:hAnsi="Times New Roman"/>
          <w:bCs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588"/>
        <w:gridCol w:w="603"/>
        <w:gridCol w:w="892"/>
        <w:gridCol w:w="1482"/>
        <w:gridCol w:w="1110"/>
        <w:gridCol w:w="1187"/>
      </w:tblGrid>
      <w:tr w:rsidR="00116AD4" w:rsidTr="00116AD4">
        <w:trPr>
          <w:trHeight w:val="458"/>
        </w:trPr>
        <w:tc>
          <w:tcPr>
            <w:tcW w:w="1938" w:type="pct"/>
            <w:vMerge w:val="restar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66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74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20" w:type="pct"/>
            <w:vMerge w:val="restar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16AD4" w:rsidTr="00116AD4">
        <w:trPr>
          <w:trHeight w:val="269"/>
        </w:trPr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5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6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4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0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0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16AD4" w:rsidTr="00116AD4">
        <w:trPr>
          <w:trHeight w:val="690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695A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Общегосударственные вопросы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91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46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Выполнение функций органами местного самоуправления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21 0 00 00000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690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21 2 00 00000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46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46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200</w:t>
            </w: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690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240</w:t>
            </w: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Иные бюджетные ассигнования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800</w:t>
            </w: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+0,2</w:t>
            </w: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Уплата налогов, сборов и иных платежей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850</w:t>
            </w: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+0,2</w:t>
            </w: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 xml:space="preserve">ВСЕГО 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0,0</w:t>
            </w:r>
          </w:p>
        </w:tc>
      </w:tr>
    </w:tbl>
    <w:p w:rsidR="00116AD4" w:rsidRDefault="00116AD4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>Вне</w:t>
      </w:r>
      <w:r w:rsidR="00116AD4">
        <w:rPr>
          <w:rFonts w:ascii="Times New Roman" w:hAnsi="Times New Roman"/>
          <w:bCs/>
          <w:sz w:val="28"/>
          <w:szCs w:val="28"/>
        </w:rPr>
        <w:t>сти изменение в  Приложение № 3</w:t>
      </w:r>
      <w:r w:rsidR="00096F19">
        <w:rPr>
          <w:rFonts w:ascii="Times New Roman" w:hAnsi="Times New Roman"/>
          <w:bCs/>
          <w:sz w:val="28"/>
          <w:szCs w:val="28"/>
        </w:rPr>
        <w:t xml:space="preserve">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116AD4">
        <w:rPr>
          <w:rFonts w:ascii="Times New Roman" w:hAnsi="Times New Roman"/>
          <w:bCs/>
          <w:sz w:val="28"/>
          <w:szCs w:val="28"/>
        </w:rPr>
        <w:t>йона Саратовской области на 2022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116AD4" w:rsidRDefault="00116AD4" w:rsidP="00116AD4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sz w:val="28"/>
        </w:rPr>
        <w:t>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</w:t>
      </w:r>
      <w:proofErr w:type="spellEnd"/>
      <w:r>
        <w:rPr>
          <w:rFonts w:ascii="Times New Roman" w:hAnsi="Times New Roman"/>
          <w:bCs/>
          <w:sz w:val="28"/>
        </w:rPr>
        <w:t>)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7"/>
        <w:gridCol w:w="604"/>
        <w:gridCol w:w="892"/>
        <w:gridCol w:w="1482"/>
        <w:gridCol w:w="1110"/>
        <w:gridCol w:w="1188"/>
      </w:tblGrid>
      <w:tr w:rsidR="00116AD4" w:rsidTr="00116AD4">
        <w:trPr>
          <w:trHeight w:val="458"/>
        </w:trPr>
        <w:tc>
          <w:tcPr>
            <w:tcW w:w="2064" w:type="pct"/>
            <w:vMerge w:val="restar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96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25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8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61" w:type="pct"/>
            <w:vMerge w:val="restar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16AD4" w:rsidTr="00116AD4">
        <w:trPr>
          <w:trHeight w:val="269"/>
        </w:trPr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</w:tr>
      <w:tr w:rsidR="00116AD4" w:rsidTr="00116AD4">
        <w:trPr>
          <w:trHeight w:val="255"/>
        </w:trPr>
        <w:tc>
          <w:tcPr>
            <w:tcW w:w="2064" w:type="pc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5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1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16AD4" w:rsidTr="00116AD4">
        <w:trPr>
          <w:trHeight w:val="25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Общегосударственные вопросы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91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46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Выполнение функций органами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21 0 00 00000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690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21 2 00 00000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46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Расходы на обеспечение функций центрального аппарата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46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200</w:t>
            </w: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690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240</w:t>
            </w: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-0,2</w:t>
            </w:r>
          </w:p>
        </w:tc>
      </w:tr>
      <w:tr w:rsidR="00116AD4" w:rsidTr="00116AD4">
        <w:trPr>
          <w:trHeight w:val="25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Иные бюджетные ассигнования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800</w:t>
            </w: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+0,2</w:t>
            </w:r>
          </w:p>
        </w:tc>
      </w:tr>
      <w:tr w:rsidR="00116AD4" w:rsidTr="00116AD4">
        <w:trPr>
          <w:trHeight w:val="25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>Уплата налогов, сборов и иных платежей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850</w:t>
            </w: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+0,2</w:t>
            </w:r>
          </w:p>
        </w:tc>
      </w:tr>
      <w:tr w:rsidR="00116AD4" w:rsidTr="00116AD4">
        <w:trPr>
          <w:trHeight w:val="255"/>
        </w:trPr>
        <w:tc>
          <w:tcPr>
            <w:tcW w:w="2064" w:type="pct"/>
            <w:vAlign w:val="bottom"/>
            <w:hideMark/>
          </w:tcPr>
          <w:p w:rsidR="00116AD4" w:rsidRDefault="00116AD4" w:rsidP="00695A1C">
            <w:r>
              <w:t xml:space="preserve">ВСЕГО </w:t>
            </w:r>
          </w:p>
        </w:tc>
        <w:tc>
          <w:tcPr>
            <w:tcW w:w="33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49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82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618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661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0,0</w:t>
            </w:r>
          </w:p>
        </w:tc>
      </w:tr>
    </w:tbl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pStyle w:val="a7"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096F19">
        <w:rPr>
          <w:szCs w:val="28"/>
        </w:rPr>
        <w:t xml:space="preserve">. </w:t>
      </w:r>
      <w:r w:rsidR="00096F19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096F19" w:rsidRDefault="00096F19" w:rsidP="00096F19"/>
    <w:p w:rsidR="00096F19" w:rsidRDefault="00096F19" w:rsidP="00096F19"/>
    <w:p w:rsidR="00096F19" w:rsidRDefault="00096F19" w:rsidP="00096F19">
      <w:pPr>
        <w:pStyle w:val="1"/>
        <w:rPr>
          <w:szCs w:val="28"/>
        </w:rPr>
      </w:pPr>
    </w:p>
    <w:p w:rsidR="00096F19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1A05FF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sectPr w:rsidR="001A05FF" w:rsidRPr="001A05FF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19"/>
    <w:rsid w:val="0006463C"/>
    <w:rsid w:val="00096F19"/>
    <w:rsid w:val="00116AD4"/>
    <w:rsid w:val="001A05FF"/>
    <w:rsid w:val="001A174B"/>
    <w:rsid w:val="00300629"/>
    <w:rsid w:val="0040048D"/>
    <w:rsid w:val="00560A5A"/>
    <w:rsid w:val="006556BC"/>
    <w:rsid w:val="00736C4B"/>
    <w:rsid w:val="0094744F"/>
    <w:rsid w:val="00B062BD"/>
    <w:rsid w:val="00D04463"/>
    <w:rsid w:val="00D42F20"/>
    <w:rsid w:val="00DC5B31"/>
    <w:rsid w:val="00EF201B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36C4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3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2022-02-28T06:49:00Z</cp:lastPrinted>
  <dcterms:created xsi:type="dcterms:W3CDTF">2018-07-04T04:19:00Z</dcterms:created>
  <dcterms:modified xsi:type="dcterms:W3CDTF">2022-03-01T11:53:00Z</dcterms:modified>
</cp:coreProperties>
</file>